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5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lang w:val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CD-News Schweiz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28.01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.202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Tadd Dameron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Scene Is Clean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BILL CARRUTHERS/ RAFAEL SCHILT/ RAPHAEL WALSER/ JONAS RUTHER; CUYAHOGA RIVER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(rec. 20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18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Klactovee Edition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Duke Ellington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Take The A Train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THE WHO TRIO: STRELL – Music OF STRAYHORN &amp; ELLINGTON (2019)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Clean Feed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A.Takase-Ch.Weber-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M. Griener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Last Winter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3.0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Intakt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A.Takase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Drops of Light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M.Griener-A.Takase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Are Eyes Open?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AKI TAKASE/ CHRISTIAN WEBER/ MICHAEL GRIENER: AUGE (2019)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1.35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Schnellertollermeier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Tectonics/ A Sore Point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2.45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Cuneiform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Velver Sun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SCHNELLERTOLLERMEIER: 5 (2020)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S.Strinning-J.Kirshner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Flooded Skiff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2.45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JAKI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Oakum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SEBASTIAN STRINNING/ JULIAN KIRSHNER: DIPPING THE EYE (2019)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Christophe Schweizer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Winter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4.40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ENJA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Peter‘s Power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CHRISTOPHE SCHWEIZER: STREAM (2019)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S‘cööf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Entertainment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S‘CÖÖF: W</w:t>
            </w:r>
            <w:r>
              <w:rPr>
                <w:rFonts w:ascii="FreeSans" w:hAnsi="FreeSans"/>
                <w:sz w:val="22"/>
                <w:szCs w:val="22"/>
              </w:rPr>
              <w:t>E</w:t>
            </w:r>
            <w:r>
              <w:rPr>
                <w:rFonts w:ascii="FreeSans" w:hAnsi="FreeSans"/>
                <w:sz w:val="22"/>
                <w:szCs w:val="22"/>
              </w:rPr>
              <w:t>AVING ELEPHANTS (2020)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5.55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Club Dänemark LP</w:t>
            </w:r>
          </w:p>
        </w:tc>
      </w:tr>
    </w:tbl>
    <w:p>
      <w:pPr>
        <w:pStyle w:val="Normal"/>
        <w:rPr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/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BILL CARRUTHERS/ RAFAEL SCHILT/ RAPHAEL WALSER/ JONAS RUTHER; CUYAHOGA RIVER</w:t>
      </w:r>
      <w:r>
        <w:rPr>
          <w:rFonts w:ascii="FreeSans" w:hAnsi="FreeSans"/>
          <w:sz w:val="22"/>
          <w:szCs w:val="22"/>
          <w:lang w:val="de-DE"/>
        </w:rPr>
        <w:t xml:space="preserve"> (rec. 20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18</w:t>
      </w:r>
      <w:r>
        <w:rPr>
          <w:rFonts w:ascii="FreeSans" w:hAnsi="FreeSans"/>
          <w:sz w:val="22"/>
          <w:szCs w:val="22"/>
          <w:lang w:val="de-DE"/>
        </w:rPr>
        <w:t xml:space="preserve">) – </w:t>
      </w:r>
      <w:r>
        <w:rPr>
          <w:rFonts w:ascii="FreeSans" w:hAnsi="FreeSans"/>
          <w:sz w:val="22"/>
          <w:szCs w:val="22"/>
          <w:lang w:val="de-DE"/>
        </w:rPr>
        <w:t>Klaktovee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  <w:lang w:val="de-DE"/>
        </w:rPr>
        <w:t>WHO TRIO: STRELL – Music OF STRAYHORN &amp; ELLINGTON (2019) – Clean Feed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AKI TAKASE/ CHRISTIAN WEBER/ MICHAEL GRIENER: AUGE (2019) – Intakt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SCHNELLERTOLLERMEIER: 5 (2020) – Cuneiform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SEBASTIAN STRINNING/ JULIAN KIRSHNER: DIPPING THE EYE (2019) – JAKI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CHRISTOPHE SCHWEIZER: STREAM (2019) – ENJA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S‘CÖÖF: WEAVING ELEPHANTS (2020) – Club Dänemark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/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/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126</TotalTime>
  <Application>LibreOffice/6.4.6.2$Linux_X86_64 LibreOffice_project/40$Build-2</Application>
  <Pages>1</Pages>
  <Words>205</Words>
  <Characters>1264</Characters>
  <CharactersWithSpaces>1409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2021-01-27T13:12:54Z</dcterms:modified>
  <cp:revision>12</cp:revision>
  <dc:subject/>
  <dc:title>jsolo standart</dc:title>
</cp:coreProperties>
</file>