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FreeSans" w:hAnsi="FreeSans"/>
          <w:b/>
          <w:b/>
          <w:bCs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80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/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 xml:space="preserve">Im Focus: 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Mathias Rüegg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Datum:  04.05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3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559" w:type="dxa"/>
        <w:jc w:val="left"/>
        <w:tblInd w:w="-442" w:type="dxa"/>
        <w:tblLayout w:type="fixed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270"/>
        <w:gridCol w:w="4979"/>
        <w:gridCol w:w="790"/>
        <w:gridCol w:w="2519"/>
      </w:tblGrid>
      <w:tr>
        <w:trPr/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shd w:fill="FFFFFF" w:val="clear"/>
                <w:lang w:val="de-DE" w:eastAsia="zh-CN" w:bidi="hi-IN"/>
              </w:rPr>
              <w:t>Scott Joplin, arr. Mathias Rüegg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shd w:fill="FFFFFF" w:val="clear"/>
                <w:lang w:val="de-DE" w:eastAsia="zh-CN" w:bidi="hi-IN"/>
              </w:rPr>
              <w:t>Variations about The Cascades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shd w:fill="FFFFFF" w:val="clear"/>
                <w:lang w:val="de-DE" w:eastAsia="zh-CN" w:bidi="hi-IN"/>
              </w:rPr>
              <w:t>VIENNA ART ORCHESTRA: FROM RAGTIME TO NO TIME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shd w:fill="FFFFFF" w:val="clear"/>
                <w:lang w:val="de-DE" w:eastAsia="zh-CN" w:bidi="hi-IN"/>
              </w:rPr>
              <w:t xml:space="preserve">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shd w:fill="FFFFFF" w:val="clear"/>
                <w:lang w:val="de-DE" w:eastAsia="zh-CN" w:bidi="hi-IN"/>
              </w:rPr>
              <w:t>(rec. 1982)</w:t>
            </w:r>
          </w:p>
          <w:p>
            <w:pPr>
              <w:pStyle w:val="TabellenInhalt"/>
              <w:widowControl w:val="false"/>
              <w:rPr>
                <w:rFonts w:eastAsia="DejaVu Sans" w:cs="Lohit Hindi"/>
                <w:color w:val="000000"/>
                <w:kern w:val="0"/>
                <w:lang w:val="de-DE" w:eastAsia="zh-CN" w:bidi="hi-IN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3.55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HatART</w:t>
            </w:r>
          </w:p>
        </w:tc>
      </w:tr>
      <w:tr>
        <w:trPr/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Mathias Rüegg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Pan Flute Song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2.30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Lotus 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Records</w:t>
            </w:r>
          </w:p>
        </w:tc>
      </w:tr>
      <w:tr>
        <w:trPr/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Mathias Rüegg /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Francisca Stöcklin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The Sea Sings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MATHIAS RÜEGG: THE BLUE PIANO/ THE ADVANTAGE OF WRITING MUSIC (2010/ 2022)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4.00</w:t>
            </w:r>
          </w:p>
        </w:tc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Eric Satie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Gnossienne No.3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Hat ART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Gnossienne No 1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VAO: THE MINIMALISM OF ERIC SATIE (1983/ 1984)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</w:t>
            </w:r>
            <w:r>
              <w:rPr>
                <w:rFonts w:ascii="FreeSans" w:hAnsi="FreeSans"/>
                <w:sz w:val="22"/>
                <w:szCs w:val="22"/>
              </w:rPr>
              <w:t>40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Mathias Rüegg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The World of Be-Band &amp; Big-Bop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5.00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Art Records 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Panta Rhei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5.50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Charly’s Trauma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WIENER ART ORCHESTER: TANGO FROM OBANGO (1979)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0.40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Art &amp; Fun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VAO: ART &amp; FUN (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2001)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4.30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Emarcy Universal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Incubi et succubi</w:t>
            </w:r>
          </w:p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VAO: SWING &amp; AFFAIRS (2005)</w:t>
            </w:r>
          </w:p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Emarcy Universal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Suite For The Green Eighties Part 5</w:t>
            </w:r>
          </w:p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VAO: SUITE FOR THE GREEN EIGHTIES (1981)</w:t>
            </w:r>
          </w:p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8.05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Hat ART</w:t>
            </w:r>
          </w:p>
        </w:tc>
      </w:tr>
      <w:tr>
        <w:trPr/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Trad. / arr. Mathias Rüegg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Song 1 (based on Luegit vo Bärg und Tal)</w:t>
            </w:r>
          </w:p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MATHIAS RÜEGG VIENNA ART CHOIR: FIVE OLD SONGS (1984)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11.50</w:t>
            </w:r>
          </w:p>
        </w:tc>
        <w:tc>
          <w:tcPr>
            <w:tcW w:w="25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Moers Music</w:t>
            </w:r>
          </w:p>
        </w:tc>
      </w:tr>
    </w:tbl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eastAsia="DejaVu Sans" w:cs="Lohit Hindi"/>
          <w:color w:val="000000"/>
          <w:kern w:val="0"/>
          <w:lang w:val="de-DE" w:eastAsia="zh-CN" w:bidi="hi-IN"/>
        </w:rPr>
      </w:pPr>
      <w:r>
        <w:rPr>
          <w:rFonts w:ascii="FreeSans" w:hAnsi="FreeSans"/>
          <w:sz w:val="22"/>
          <w:szCs w:val="22"/>
        </w:rPr>
      </w:r>
    </w:p>
    <w:sectPr>
      <w:type w:val="nextPage"/>
      <w:pgSz w:w="11906" w:h="16838"/>
      <w:pgMar w:left="1134" w:right="1134" w:gutter="0" w:header="0" w:top="538" w:footer="0" w:bottom="68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Aufzhlung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167</TotalTime>
  <Application>LibreOffice/7.3.7.2$Linux_X86_64 LibreOffice_project/30$Build-2</Application>
  <AppVersion>15.0000</AppVersion>
  <Pages>1</Pages>
  <Words>193</Words>
  <Characters>934</Characters>
  <CharactersWithSpaces>1065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2023-05-04T12:38:40Z</dcterms:modified>
  <cp:revision>20</cp:revision>
  <dc:subject/>
  <dc:title>jsolo standart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